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SOSTEGNO AI FESTIVAL DI CINEMA - ANNUALITÀ 202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SCHEDA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Specificare titolo, data di inizio e di conclusione del festival, luogo di svolgimento (in sala, online, altro) ed il numero delle edizioni pregresse.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Soggetto realizzatore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Indicare il soggetto che realizza il festival e il numero delle edizioni pregresse realizzate dallo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Altri eventuali soggetti coinvolti nell’attuazione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Indicare eventuali altri soggetti coinvolti nell'organizzazione del festival e il tipo di collaborazione che intercorre tra questi ed il soggetto realizzatore.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Qualità e validità culturale (MAX 30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Descrivere sinteticamente 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fondamenti del festival attraverso i quali si evidenzia l’obiettivo di promuovere il cinema di qualità e diffondere la cultura cinematografica e gli altri elementi descrittivi dello specifico criterio di valutazione (punto 10 dell'Avviso)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MAX 3.000 caratteri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Direzione artistica e staff (MAX 10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Indicare nome e cognome del direttore artistico e breve descrizione delle sue competenze e funzioni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highlight w:val="yellow"/>
          <w:u w:val="single"/>
          <w:vertAlign w:val="baseline"/>
          <w:rtl w:val="0"/>
        </w:rPr>
        <w:t xml:space="preserve">allegare curriculum vitae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Indicare nomi cognomi dei principali membri dello staff organizzativo con breve descrizione delle competenze e delle funzioni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Programma del festival (MAX 25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Compilare le tabelle sottostanti ed allegare programma 202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a"/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, anche in versione non definitiva, del festival con eventuali note artistiche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000000000002" w:type="dxa"/>
        <w:jc w:val="left"/>
        <w:tblInd w:w="-103.0" w:type="dxa"/>
        <w:tblLayout w:type="fixed"/>
        <w:tblLook w:val="0000"/>
      </w:tblPr>
      <w:tblGrid>
        <w:gridCol w:w="417"/>
        <w:gridCol w:w="2947"/>
        <w:gridCol w:w="1701"/>
        <w:gridCol w:w="1417"/>
        <w:gridCol w:w="1701"/>
        <w:gridCol w:w="1276"/>
        <w:gridCol w:w="992"/>
        <w:tblGridChange w:id="0">
          <w:tblGrid>
            <w:gridCol w:w="417"/>
            <w:gridCol w:w="2947"/>
            <w:gridCol w:w="1701"/>
            <w:gridCol w:w="1417"/>
            <w:gridCol w:w="1701"/>
            <w:gridCol w:w="1276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e regista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tipologia (lungo, cortometraggio)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si tratta di un documentario (SI / 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si tratta di una anteprima nazionale (AN) o internazionale (AI)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proiezioni dello stesso titolo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in sala (SA) e/o online (ON)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8.0" w:type="dxa"/>
        <w:jc w:val="left"/>
        <w:tblInd w:w="-98.0" w:type="dxa"/>
        <w:tblLayout w:type="fixed"/>
        <w:tblLook w:val="0000"/>
      </w:tblPr>
      <w:tblGrid>
        <w:gridCol w:w="4689"/>
        <w:gridCol w:w="4979"/>
        <w:tblGridChange w:id="0">
          <w:tblGrid>
            <w:gridCol w:w="4689"/>
            <w:gridCol w:w="49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RIEPILOGO TIPOLOGIA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TOTALI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Lungometraggi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Cortometraggi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Anteprime nazionali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Anteprime internazionali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Proiezioni complessive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Presenza di iniziative collaterali diverse dalle proiezioni (MAX 5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Riempire la tabella sottostante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indicando sia la tipologia dell'iniziativa che una breve descrizione della stessa.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52.0" w:type="dxa"/>
        <w:jc w:val="left"/>
        <w:tblInd w:w="7.999999999999989" w:type="dxa"/>
        <w:tblLayout w:type="fixed"/>
        <w:tblLook w:val="0000"/>
      </w:tblPr>
      <w:tblGrid>
        <w:gridCol w:w="3507"/>
        <w:gridCol w:w="6045"/>
        <w:tblGridChange w:id="0">
          <w:tblGrid>
            <w:gridCol w:w="3507"/>
            <w:gridCol w:w="60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DETTAGLIO EVENTI COLLATERALI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o tipologia dell’iniziativa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Sintetica 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Presenza riconosciute personalità, membri di giurie e/o ospiti e collaborazioni di rilievo (MAX 15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Riempire la tabella sottostante in tutte le sue parti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01.000000000002" w:type="dxa"/>
        <w:jc w:val="left"/>
        <w:tblInd w:w="-196.0" w:type="dxa"/>
        <w:tblLayout w:type="fixed"/>
        <w:tblLook w:val="0000"/>
      </w:tblPr>
      <w:tblGrid>
        <w:gridCol w:w="521"/>
        <w:gridCol w:w="2836"/>
        <w:gridCol w:w="2126"/>
        <w:gridCol w:w="1843"/>
        <w:gridCol w:w="3075"/>
        <w:tblGridChange w:id="0">
          <w:tblGrid>
            <w:gridCol w:w="521"/>
            <w:gridCol w:w="2836"/>
            <w:gridCol w:w="2126"/>
            <w:gridCol w:w="1843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DETTAGLIO OSPITI E EVENTUALE GIURIA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N.B.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highlight w:val="yellow"/>
                <w:rtl w:val="0"/>
              </w:rPr>
              <w:t xml:space="preserve"> per OSPITI si intende personalità per  cui il festival sostiene spese di viaggio e /o alloggio i cui costi saranno quindi dettagliati  tra le spese sostenute in fase consuntiva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Ospite o giurato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(note essenziali)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N.B. Descrivere sinteticamente la presenza di gemellaggi con festival, rassegne o iniziative cinematografiche o audiovisive in Italia o in altri Paesi, o di accordi di collaborazione con associazioni di promozione delle opere audiovisive estere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MAX 1000 caratteri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Sostenibilità ambientale (MAX 5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Selezionare (FACENDO UNA X ACCANTO ALL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a"/>
          <w:sz w:val="22"/>
          <w:szCs w:val="22"/>
          <w:rtl w:val="0"/>
        </w:rPr>
        <w:t xml:space="preserve">’AZIONE)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almeno 5 azioni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(scelte tra le 20 indicate nell’elenco sottostante) e relative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ad almeno 5 dei 10 ambiti di intervento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previsti.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L’effettiva realizzazione delle suddette azioni deve essere certificata in fase di consuntivo da un soggetto preposto e documentabile attraverso una dettagliata relazione con puntuali giustificativi a comprova dell’avvenuto rispetto delle azioni sottoscritte.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MOBILITÀ SOSTENIBILE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Agevolare con informazioni chiare sul sito e in programma la raggiungibilità dei luoghi dell’iniziativa con mezzi pubblici.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 Attivare politiche di incentivazione economica (ingressi a tariffa ridotta, gadget o altre promozioni) per i partecipanti che utilizzano i mezzi pubblici per raggiungere le location dell’iniziativa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CONSUMI ENERGETICI SOSTENIBILI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Calcolare le emissioni residue di CO2 dell’iniziativa e attivare progetti per compensarle.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STAMPA DEI MATERIALI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Ridurre la quantità di materiali stampati (programmi, cataloghi, flyer, brochure, cartoline, ecc..) al fine di contrastare lo spreco di carta.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Utilizzare carta riciclata e/o ecologica certificata da un’etichetta ambientale (FSC/PEFC e/o Ecolabel Europeo, o equivalente).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Utilizzare il formato digitale per i materiali di comunicazione, informazione, promozione e bigliettazione dell’evento.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ALLESTIMENTI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Privilegiare l’utilizzo di materiali rinnovabili o riciclabili per la realizzazione degli allestimenti e scegliere supporti e strutture riutilizzabili negli anni.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 Privilegiare la realizzazione di allestimenti generici senza riferimenti specifici all’edizione per poterli riutilizzare in futuro.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GESTIONE DEI RIFIUTI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Garantire una corretta raccolta differenziata opportunamente allestita e comunicata secondo quanto previsto dal locale servizio di raccolta dei rifiuti, almeno delle seguenti frazioni: Carta e cartone; Plastica, metalli e vetro; Rifiuto organico; Rifiuto urbano residuo.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 Prevedere nei luoghi dell’iniziativa una distribuzione adeguata e ben segnalata dei punti di raccolta.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PRODUZIONE GADGET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Produrre gadget utili: penne, quaderni, tazze, borse, borracce, etc.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Realizzare il merchandising con materiali riciclabili e riciclati.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GESTIONE DEGLI OSPITI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Incoraggiare gli ospiti a viaggiare con mezzi quali treni o pullman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Privilegiare i trasporti condivisi, promuovere il car sharing ed evitare di usare macchine con singoli ospiti.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Privilegiare strutture ricettive vicino alle sedi dell’iniziativa.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SOSTENIBILITÀ ALIMENTARE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Prediligere prodotti alimentari e bevande della filiera locale, per una valorizzazione dei prodotti del territorio e un sostegno alle piccole e medie aziende locali.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CULTURA AMBIENTALE E SOSTENIBILITÀ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 Sensibilizzare e diffondere consapevolezza sui temi della sostenibilità ambientale e della responsabilità sociale fra tutti i soggetti coinvolti dall’evento: pubblico, accreditati, personale impiegato, i fornitori e la comunità locale.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 Dare preferenza ai fornitori dotati di un Sistema di Gestione Ambientale certificato.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FORMAZIONE E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10.1 Comunicare le politiche e le azioni inerente alla pianificazione, all’attuazione e alla verifica di processi sostenibili attuati nel corso della manifestazione.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10.2 Proporre un percorso di formazione ambientale per il personale assunto e volontario della manifestazione affinché conosca e promuova il rispetto alle politiche ambientali dell’ente.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Timbro e Firma del Legale Rappresentante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ALLEGATO D)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79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Corpotesto1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1"/>
    <w:next w:val="Elenco"/>
    <w:autoRedefine w:val="0"/>
    <w:hidden w:val="0"/>
    <w:qFormat w:val="0"/>
    <w:pPr>
      <w:suppressAutoHyphens w:val="0"/>
      <w:autoSpaceDN w:val="0"/>
      <w:spacing w:after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suppressLineNumbers w:val="1"/>
      <w:suppressAutoHyphens w:val="0"/>
      <w:autoSpaceDN w:val="0"/>
      <w:spacing w:after="120" w:before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i w:val="1"/>
      <w:iCs w:val="1"/>
      <w:color w:val="00000a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Arial" w:cs="Arial Unicode MS" w:eastAsia="Arial Unicode MS" w:hAnsi="Arial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1">
    <w:name w:val="Corpo testo1"/>
    <w:basedOn w:val="Standard"/>
    <w:next w:val="Corpotesto1"/>
    <w:autoRedefine w:val="0"/>
    <w:hidden w:val="0"/>
    <w:qFormat w:val="0"/>
    <w:pPr>
      <w:suppressAutoHyphens w:val="0"/>
      <w:autoSpaceDN w:val="0"/>
      <w:spacing w:after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21">
    <w:name w:val="Titolo 21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6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MS Gothic" w:hAnsi="Calibri"/>
      <w:b w:val="1"/>
      <w:bCs w:val="1"/>
      <w:i w:val="1"/>
      <w:iCs w:val="1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81">
    <w:name w:val="Titolo 81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line="100" w:lineRule="atLeast"/>
      <w:ind w:right="-1"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91">
    <w:name w:val="Titolo 91"/>
    <w:basedOn w:val="Standard"/>
    <w:next w:val="Textbody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N w:val="0"/>
      <w:spacing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3">
    <w:name w:val="Intestazione3"/>
    <w:basedOn w:val="Standard"/>
    <w:next w:val="Intestazione3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Standard"/>
    <w:next w:val="Didascalia2"/>
    <w:autoRedefine w:val="0"/>
    <w:hidden w:val="0"/>
    <w:qFormat w:val="0"/>
    <w:pPr>
      <w:suppressLineNumbers w:val="1"/>
      <w:suppressAutoHyphens w:val="0"/>
      <w:autoSpaceDN w:val="0"/>
      <w:spacing w:after="120" w:before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Intestazione3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Microsoft YaHei" w:hAnsi="Arial"/>
      <w:i w:val="1"/>
      <w:iCs w:val="1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Standard"/>
    <w:next w:val="Intestazione2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Standard"/>
    <w:next w:val="Didascalia1"/>
    <w:autoRedefine w:val="0"/>
    <w:hidden w:val="0"/>
    <w:qFormat w:val="0"/>
    <w:pPr>
      <w:suppressLineNumbers w:val="1"/>
      <w:suppressAutoHyphens w:val="0"/>
      <w:autoSpaceDN w:val="0"/>
      <w:spacing w:after="120" w:before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Standard"/>
    <w:next w:val="Intestazione1"/>
    <w:autoRedefine w:val="0"/>
    <w:hidden w:val="0"/>
    <w:qFormat w:val="0"/>
    <w:pPr>
      <w:keepNext w:val="1"/>
      <w:suppressAutoHyphens w:val="0"/>
      <w:autoSpaceDN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autoSpaceDN w:val="0"/>
      <w:spacing w:line="100" w:lineRule="atLeast"/>
      <w:ind w:left="142"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Standard"/>
    <w:next w:val="Pièdipagina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Standard"/>
    <w:next w:val="WW-Rigad'intestazione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chema">
    <w:name w:val="Schema"/>
    <w:basedOn w:val="Standard"/>
    <w:next w:val="Schema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notaapièdipagina1">
    <w:name w:val="Testo nota a piè di pagina1"/>
    <w:basedOn w:val="Standard"/>
    <w:next w:val="Testonotaapièdipagina1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ableContents"/>
    <w:next w:val="Intestazionetabella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Framecontents">
    <w:name w:val="Frame contents"/>
    <w:basedOn w:val="Corpotesto1"/>
    <w:next w:val="Framecontents"/>
    <w:autoRedefine w:val="0"/>
    <w:hidden w:val="0"/>
    <w:qFormat w:val="0"/>
    <w:pPr>
      <w:suppressAutoHyphens w:val="0"/>
      <w:autoSpaceDN w:val="0"/>
      <w:spacing w:after="12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orizontalLine">
    <w:name w:val="Horizontal Line"/>
    <w:basedOn w:val="Standard"/>
    <w:next w:val="Textbody"/>
    <w:autoRedefine w:val="0"/>
    <w:hidden w:val="0"/>
    <w:qFormat w:val="0"/>
    <w:pPr>
      <w:suppressLineNumbers w:val="1"/>
      <w:suppressAutoHyphens w:val="0"/>
      <w:autoSpaceDN w:val="0"/>
      <w:spacing w:after="283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sz w:val="12"/>
      <w:szCs w:val="1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Standard"/>
    <w:next w:val="Testofumetto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kern w:val="3"/>
      <w:position w:val="-1"/>
      <w:sz w:val="18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color w:val="00000a"/>
      <w:w w:val="100"/>
      <w:kern w:val="3"/>
      <w:position w:val="-1"/>
      <w:sz w:val="21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="283" w:leftChars="-1" w:rightChars="0" w:hanging="283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Standard"/>
    <w:next w:val="Rigad'intestazione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autoSpaceDN w:val="0"/>
      <w:spacing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color w:val="00000a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">
    <w:name w:val="WW-WW8Num1ztrue12"/>
    <w:next w:val="WW-WW8Num1ztrue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">
    <w:name w:val="WW-WW8Num1ztrue123"/>
    <w:next w:val="WW-WW8Num1ztrue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">
    <w:name w:val="WW-WW8Num1ztrue1234"/>
    <w:next w:val="WW-WW8Num1ztrue1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5">
    <w:name w:val="WW-WW8Num1ztrue12345"/>
    <w:next w:val="WW-WW8Num1ztrue12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.predefinitoparagrafo">
    <w:name w:val="WW-Car. predefinito paragrafo"/>
    <w:next w:val="WW-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1">
    <w:name w:val="Numero pagina1"/>
    <w:basedOn w:val="WW-Car.predefinitoparagrafo"/>
    <w:next w:val="Numeropagin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1">
    <w:name w:val="Rimando nota di chiusura1"/>
    <w:next w:val="Rimandonotadichiusura1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, 'Arial Unicode MS'" w:cs="OpenSymbol, 'Arial Unicode MS'" w:eastAsia="OpenSymbol, 'Arial Unicode MS'" w:hAnsi="OpenSymbol, 'Arial Unicode MS'"/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Rimandonotaapièdipagina2">
    <w:name w:val="Rimando nota a piè di pagina2"/>
    <w:next w:val="Rimandonotaapièdipagina2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Testosegnaposto">
    <w:name w:val="Testo segnaposto"/>
    <w:next w:val="Testosegnapost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w w:val="100"/>
      <w:position w:val="-1"/>
      <w:sz w:val="18"/>
      <w:szCs w:val="16"/>
      <w:effect w:val="none"/>
      <w:vertAlign w:val="baseline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FootnoteSymbol">
    <w:name w:val="Footnote Symbol"/>
    <w:next w:val="Foot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Symbol">
    <w:name w:val="Endnote Symbol"/>
    <w:next w:val="End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0"/>
      <w:sz w:val="16"/>
      <w:effect w:val="none"/>
      <w:vertAlign w:val="baseline"/>
      <w:cs w:val="0"/>
      <w:em w:val="none"/>
      <w:lang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+DQSTk4opeD657EPBNnDkLKYJQ==">CgMxLjA4AHIhMWxvaFVKNEp0d2Y1TC12TG5hZjVEN25rNkx4d2xXX3dw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2021-07-13T11:22:00Z</dcterms:created>
  <dc:creator>Pinzani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